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8050DB" w:rsidRDefault="003154A2" w:rsidP="00EE1B46">
      <w:pPr>
        <w:spacing w:before="120" w:after="120" w:line="360" w:lineRule="auto"/>
        <w:jc w:val="center"/>
        <w:rPr>
          <w:rFonts w:ascii="Arial" w:hAnsi="Arial" w:cs="Arial"/>
          <w:sz w:val="28"/>
          <w:szCs w:val="28"/>
        </w:rPr>
      </w:pPr>
      <w:r w:rsidRPr="008050DB">
        <w:rPr>
          <w:rFonts w:ascii="Arial" w:hAnsi="Arial" w:cs="Arial"/>
          <w:b/>
          <w:sz w:val="28"/>
          <w:szCs w:val="28"/>
        </w:rPr>
        <w:t xml:space="preserve">PROGRAMA </w:t>
      </w:r>
      <w:r w:rsidR="0099685D" w:rsidRPr="008050DB">
        <w:rPr>
          <w:rFonts w:ascii="Arial" w:hAnsi="Arial" w:cs="Arial"/>
          <w:b/>
          <w:sz w:val="28"/>
          <w:szCs w:val="28"/>
        </w:rPr>
        <w:t>41CB</w:t>
      </w:r>
    </w:p>
    <w:p w:rsidR="003154A2" w:rsidRPr="008E51D4" w:rsidRDefault="00937539" w:rsidP="008050DB">
      <w:pPr>
        <w:spacing w:after="240" w:line="360" w:lineRule="auto"/>
        <w:jc w:val="center"/>
        <w:rPr>
          <w:rFonts w:ascii="Arial" w:hAnsi="Arial" w:cs="Arial"/>
          <w:b/>
          <w:sz w:val="22"/>
          <w:szCs w:val="22"/>
        </w:rPr>
      </w:pPr>
      <w:r w:rsidRPr="008E51D4">
        <w:rPr>
          <w:rFonts w:ascii="Arial" w:hAnsi="Arial" w:cs="Arial"/>
          <w:b/>
          <w:sz w:val="22"/>
          <w:szCs w:val="22"/>
        </w:rPr>
        <w:t>C</w:t>
      </w:r>
      <w:r w:rsidR="00911FAC">
        <w:rPr>
          <w:rFonts w:ascii="Arial" w:hAnsi="Arial" w:cs="Arial"/>
          <w:b/>
          <w:sz w:val="22"/>
          <w:szCs w:val="22"/>
        </w:rPr>
        <w:t>0</w:t>
      </w:r>
      <w:r w:rsidRPr="008E51D4">
        <w:rPr>
          <w:rFonts w:ascii="Arial" w:hAnsi="Arial" w:cs="Arial"/>
          <w:b/>
          <w:sz w:val="22"/>
          <w:szCs w:val="22"/>
        </w:rPr>
        <w:t>3</w:t>
      </w:r>
      <w:r w:rsidR="008E7022" w:rsidRPr="008E51D4">
        <w:rPr>
          <w:rFonts w:ascii="Arial" w:hAnsi="Arial" w:cs="Arial"/>
          <w:b/>
          <w:sz w:val="22"/>
          <w:szCs w:val="22"/>
        </w:rPr>
        <w:t xml:space="preserve"> </w:t>
      </w:r>
      <w:r w:rsidRPr="008E51D4">
        <w:rPr>
          <w:rFonts w:ascii="Arial" w:hAnsi="Arial" w:cs="Arial"/>
          <w:b/>
          <w:sz w:val="22"/>
          <w:szCs w:val="22"/>
        </w:rPr>
        <w:t>I</w:t>
      </w:r>
      <w:r w:rsidR="00911FAC">
        <w:rPr>
          <w:rFonts w:ascii="Arial" w:hAnsi="Arial" w:cs="Arial"/>
          <w:b/>
          <w:sz w:val="22"/>
          <w:szCs w:val="22"/>
        </w:rPr>
        <w:t>0</w:t>
      </w:r>
      <w:r w:rsidRPr="008E51D4">
        <w:rPr>
          <w:rFonts w:ascii="Arial" w:hAnsi="Arial" w:cs="Arial"/>
          <w:b/>
          <w:sz w:val="22"/>
          <w:szCs w:val="22"/>
        </w:rPr>
        <w:t xml:space="preserve">2 </w:t>
      </w:r>
      <w:r w:rsidR="006A05B3" w:rsidRPr="008E51D4">
        <w:rPr>
          <w:rFonts w:ascii="Arial" w:hAnsi="Arial" w:cs="Arial"/>
          <w:b/>
          <w:sz w:val="22"/>
          <w:szCs w:val="22"/>
        </w:rPr>
        <w:t>PLAN DE IMPULSO DE LA SOSTENIBILIDAD Y COMPETITIVIDAD DE LA AGRICULTURA Y LA GANADERÍA (I): MODERNIZAR LOS LABORATORIOS DE SANIDAD ANIMAL Y VEGETAL.</w:t>
      </w:r>
    </w:p>
    <w:p w:rsidR="00517824" w:rsidRPr="00517824" w:rsidRDefault="00CD2A46" w:rsidP="008050DB">
      <w:pPr>
        <w:spacing w:before="120" w:after="120" w:line="360" w:lineRule="auto"/>
        <w:rPr>
          <w:rFonts w:ascii="Arial" w:hAnsi="Arial" w:cs="Arial"/>
          <w:b/>
          <w:sz w:val="22"/>
          <w:szCs w:val="22"/>
        </w:rPr>
      </w:pPr>
      <w:r>
        <w:rPr>
          <w:rFonts w:ascii="Arial" w:hAnsi="Arial" w:cs="Arial"/>
          <w:b/>
          <w:sz w:val="22"/>
          <w:szCs w:val="22"/>
        </w:rPr>
        <w:t xml:space="preserve">1. </w:t>
      </w:r>
      <w:r w:rsidR="00E745AB">
        <w:rPr>
          <w:rFonts w:ascii="Arial" w:hAnsi="Arial" w:cs="Arial"/>
          <w:b/>
          <w:sz w:val="22"/>
          <w:szCs w:val="22"/>
        </w:rPr>
        <w:t>DENOMINACIÓN DEL COMPONENTE</w:t>
      </w:r>
    </w:p>
    <w:p w:rsidR="0099685D" w:rsidRDefault="0099685D" w:rsidP="008050DB">
      <w:pPr>
        <w:spacing w:before="120" w:after="120" w:line="360" w:lineRule="auto"/>
        <w:ind w:firstLine="708"/>
        <w:rPr>
          <w:rFonts w:ascii="Arial" w:hAnsi="Arial"/>
          <w:sz w:val="22"/>
          <w:szCs w:val="22"/>
        </w:rPr>
      </w:pPr>
      <w:r w:rsidRPr="00EE385D">
        <w:rPr>
          <w:rFonts w:ascii="Arial" w:hAnsi="Arial"/>
          <w:sz w:val="22"/>
          <w:szCs w:val="22"/>
        </w:rPr>
        <w:t>Transformación ambiental y digital del sector agroalimentario y pesquero.</w:t>
      </w:r>
    </w:p>
    <w:p w:rsidR="00517824" w:rsidRPr="00517824" w:rsidRDefault="00517824" w:rsidP="008050DB">
      <w:pPr>
        <w:spacing w:before="120" w:after="120" w:line="360" w:lineRule="auto"/>
        <w:rPr>
          <w:rFonts w:ascii="Arial" w:hAnsi="Arial" w:cs="Arial"/>
          <w:b/>
          <w:sz w:val="22"/>
          <w:szCs w:val="22"/>
        </w:rPr>
      </w:pPr>
      <w:r w:rsidRPr="00517824">
        <w:rPr>
          <w:rFonts w:ascii="Arial" w:hAnsi="Arial" w:cs="Arial"/>
          <w:b/>
          <w:sz w:val="22"/>
          <w:szCs w:val="22"/>
        </w:rPr>
        <w:t xml:space="preserve">2. </w:t>
      </w:r>
      <w:r w:rsidR="00E745AB" w:rsidRPr="00517824">
        <w:rPr>
          <w:rFonts w:ascii="Arial" w:hAnsi="Arial" w:cs="Arial"/>
          <w:b/>
          <w:sz w:val="22"/>
          <w:szCs w:val="22"/>
        </w:rPr>
        <w:t>DES</w:t>
      </w:r>
      <w:r w:rsidR="00E745AB">
        <w:rPr>
          <w:rFonts w:ascii="Arial" w:hAnsi="Arial" w:cs="Arial"/>
          <w:b/>
          <w:sz w:val="22"/>
          <w:szCs w:val="22"/>
        </w:rPr>
        <w:t>CRIPCIÓN GENERAL DEL COMPONENTE</w:t>
      </w:r>
    </w:p>
    <w:p w:rsidR="0099685D" w:rsidRPr="00EE385D" w:rsidRDefault="0099685D" w:rsidP="008050DB">
      <w:pPr>
        <w:spacing w:before="120" w:after="120" w:line="360" w:lineRule="auto"/>
        <w:ind w:firstLine="708"/>
        <w:jc w:val="both"/>
        <w:rPr>
          <w:rFonts w:ascii="Arial" w:hAnsi="Arial" w:cs="Arial"/>
          <w:b/>
          <w:sz w:val="22"/>
          <w:szCs w:val="22"/>
        </w:rPr>
      </w:pPr>
      <w:r w:rsidRPr="00EE385D">
        <w:rPr>
          <w:rFonts w:ascii="Arial" w:hAnsi="Arial" w:cs="Arial"/>
          <w:sz w:val="22"/>
          <w:szCs w:val="22"/>
        </w:rPr>
        <w:t>Responder a los retos que amenazan al sector agroalimentario y pesquero y que están erosionando su competitividad: una insuficiente capitalización de las empresas, agravada como consecuencia de la crisis sanitaria; un déficit de inversión en investigación, desarrollo e innovación; un retraso en la incorporación de tecnologías digitales, y una mayor exposición a los riesgos derivados del cambio climático y de las enfermedades emergentes.</w:t>
      </w:r>
    </w:p>
    <w:p w:rsidR="0099685D" w:rsidRPr="00EE3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El objetivo es mejorar la sostenibilidad, competitividad y resiliencia del sector agroalimentario, tanto desde el punto de vista económico como </w:t>
      </w:r>
      <w:r w:rsidR="003B5B78" w:rsidRPr="00EE385D">
        <w:rPr>
          <w:rFonts w:ascii="Arial" w:hAnsi="Arial" w:cs="Arial"/>
          <w:sz w:val="22"/>
          <w:szCs w:val="22"/>
        </w:rPr>
        <w:t>medioambiental y</w:t>
      </w:r>
      <w:r w:rsidRPr="00EE385D">
        <w:rPr>
          <w:rFonts w:ascii="Arial" w:hAnsi="Arial" w:cs="Arial"/>
          <w:sz w:val="22"/>
          <w:szCs w:val="22"/>
        </w:rPr>
        <w:t xml:space="preserve"> social, de forma que pueda contribuir al logro de los objetivos nacionales, europeos e internacionales a este respecto.</w:t>
      </w:r>
    </w:p>
    <w:p w:rsidR="0099685D" w:rsidRPr="00EE3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Para ello se incluyen en este </w:t>
      </w:r>
      <w:r w:rsidR="00C40D0E">
        <w:rPr>
          <w:rFonts w:ascii="Arial" w:hAnsi="Arial" w:cs="Arial"/>
          <w:sz w:val="22"/>
          <w:szCs w:val="22"/>
        </w:rPr>
        <w:t>c</w:t>
      </w:r>
      <w:r w:rsidRPr="00EE385D">
        <w:rPr>
          <w:rFonts w:ascii="Arial" w:hAnsi="Arial" w:cs="Arial"/>
          <w:sz w:val="22"/>
          <w:szCs w:val="22"/>
        </w:rPr>
        <w:t xml:space="preserve">omponente una serie de inversiones y reformas dirigidas a mejorar la resiliencia del sector y su </w:t>
      </w:r>
      <w:r w:rsidR="003B5B78" w:rsidRPr="00EE385D">
        <w:rPr>
          <w:rFonts w:ascii="Arial" w:hAnsi="Arial" w:cs="Arial"/>
          <w:sz w:val="22"/>
          <w:szCs w:val="22"/>
        </w:rPr>
        <w:t>competitividad, y</w:t>
      </w:r>
      <w:r w:rsidRPr="00EE385D">
        <w:rPr>
          <w:rFonts w:ascii="Arial" w:hAnsi="Arial" w:cs="Arial"/>
          <w:sz w:val="22"/>
          <w:szCs w:val="22"/>
        </w:rPr>
        <w:t xml:space="preserve"> a la consecución de los objetivos climáticos, medioambientales y de descarbonización de la economía. </w:t>
      </w:r>
    </w:p>
    <w:p w:rsidR="0099685D" w:rsidRPr="00EE3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Las medidas en este sector son, además, estratégicas desde el punto de vista del suministro alimentario a la población a precios razonables y estables y </w:t>
      </w:r>
      <w:r w:rsidR="003B5B78" w:rsidRPr="00EE385D">
        <w:rPr>
          <w:rFonts w:ascii="Arial" w:hAnsi="Arial" w:cs="Arial"/>
          <w:sz w:val="22"/>
          <w:szCs w:val="22"/>
        </w:rPr>
        <w:t>la contribución</w:t>
      </w:r>
      <w:r w:rsidRPr="00EE385D">
        <w:rPr>
          <w:rFonts w:ascii="Arial" w:hAnsi="Arial" w:cs="Arial"/>
          <w:sz w:val="22"/>
          <w:szCs w:val="22"/>
        </w:rPr>
        <w:t xml:space="preserve"> del sector al equilibrio de la balanza comercial española, clave en la recuperación económica.</w:t>
      </w:r>
    </w:p>
    <w:p w:rsidR="0099685D" w:rsidRPr="00EE385D" w:rsidRDefault="0099685D" w:rsidP="008050DB">
      <w:pPr>
        <w:spacing w:before="120" w:after="120" w:line="360" w:lineRule="auto"/>
        <w:jc w:val="both"/>
        <w:rPr>
          <w:rFonts w:ascii="Arial" w:hAnsi="Arial" w:cs="Arial"/>
          <w:sz w:val="22"/>
          <w:szCs w:val="22"/>
        </w:rPr>
      </w:pPr>
      <w:r w:rsidRPr="00EE385D">
        <w:rPr>
          <w:rFonts w:ascii="Arial" w:hAnsi="Arial" w:cs="Arial"/>
          <w:sz w:val="22"/>
          <w:szCs w:val="22"/>
        </w:rPr>
        <w:t xml:space="preserve">Estas medidas complementarán los apoyos al sector agroalimentario y pesquero por parte de otras </w:t>
      </w:r>
      <w:r w:rsidR="00C40D0E">
        <w:rPr>
          <w:rFonts w:ascii="Arial" w:hAnsi="Arial" w:cs="Arial"/>
          <w:sz w:val="22"/>
          <w:szCs w:val="22"/>
        </w:rPr>
        <w:t>p</w:t>
      </w:r>
      <w:r w:rsidRPr="00EE385D">
        <w:rPr>
          <w:rFonts w:ascii="Arial" w:hAnsi="Arial" w:cs="Arial"/>
          <w:sz w:val="22"/>
          <w:szCs w:val="22"/>
        </w:rPr>
        <w:t xml:space="preserve">olíticas y </w:t>
      </w:r>
      <w:r w:rsidR="00C40D0E">
        <w:rPr>
          <w:rFonts w:ascii="Arial" w:hAnsi="Arial" w:cs="Arial"/>
          <w:sz w:val="22"/>
          <w:szCs w:val="22"/>
        </w:rPr>
        <w:t>c</w:t>
      </w:r>
      <w:r w:rsidRPr="00EE385D">
        <w:rPr>
          <w:rFonts w:ascii="Arial" w:hAnsi="Arial" w:cs="Arial"/>
          <w:sz w:val="22"/>
          <w:szCs w:val="22"/>
        </w:rPr>
        <w:t>omponentes del Plan de Recuperación y Resiliencia para lograr esta transformación.</w:t>
      </w:r>
    </w:p>
    <w:p w:rsidR="0099685D" w:rsidRPr="00EE385D" w:rsidRDefault="0099685D" w:rsidP="008050DB">
      <w:pPr>
        <w:spacing w:before="120" w:after="120" w:line="360" w:lineRule="auto"/>
        <w:ind w:firstLine="360"/>
        <w:jc w:val="both"/>
        <w:rPr>
          <w:rFonts w:ascii="Arial" w:hAnsi="Arial" w:cs="Arial"/>
          <w:sz w:val="22"/>
          <w:szCs w:val="22"/>
        </w:rPr>
      </w:pPr>
      <w:r w:rsidRPr="00EE385D">
        <w:rPr>
          <w:rFonts w:ascii="Arial" w:hAnsi="Arial" w:cs="Arial"/>
          <w:sz w:val="22"/>
          <w:szCs w:val="22"/>
        </w:rPr>
        <w:t xml:space="preserve">Para cumplir los objetivos propuestos, las inversiones y reformas incluidas en el plan pivotan sobre </w:t>
      </w:r>
      <w:r w:rsidRPr="005F0FE4">
        <w:rPr>
          <w:rFonts w:ascii="Arial" w:hAnsi="Arial" w:cs="Arial"/>
          <w:sz w:val="22"/>
          <w:szCs w:val="22"/>
        </w:rPr>
        <w:t>cuatro pilares fundamentales</w:t>
      </w:r>
      <w:r w:rsidRPr="00EE385D">
        <w:rPr>
          <w:rFonts w:ascii="Arial" w:hAnsi="Arial" w:cs="Arial"/>
          <w:sz w:val="22"/>
          <w:szCs w:val="22"/>
        </w:rPr>
        <w:t xml:space="preserve">: </w:t>
      </w:r>
    </w:p>
    <w:p w:rsidR="0099685D" w:rsidRPr="005F0FE4" w:rsidRDefault="0099685D" w:rsidP="0091342A">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5F0FE4">
        <w:rPr>
          <w:rFonts w:ascii="Arial" w:hAnsi="Arial" w:cs="Arial"/>
          <w:sz w:val="22"/>
          <w:szCs w:val="22"/>
        </w:rPr>
        <w:t>Plan para la mejora de la eficiencia y la sostenibilidad en regadíos. Constituye un programa de actuaciones para reducir el consumo de agua en agricultura mediante la modernización de los regadíos existentes, vinculado al uso de energías renovables y reutilización de aguas.</w:t>
      </w:r>
    </w:p>
    <w:p w:rsidR="0099685D" w:rsidRPr="005F0FE4" w:rsidRDefault="0099685D" w:rsidP="0091342A">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5F0FE4">
        <w:rPr>
          <w:rFonts w:ascii="Arial" w:hAnsi="Arial" w:cs="Arial"/>
          <w:sz w:val="22"/>
          <w:szCs w:val="22"/>
        </w:rPr>
        <w:lastRenderedPageBreak/>
        <w:t>Plan de impulso de la sostenibilidad y competitividad de la agricultura y la ganadería. Destinado a la realización de inversiones en explotaciones agrícolas y ganaderas al objeto de mejorar su sostenibilidad, de mejora de los laboratorios agrarios de referencia y de mejora de las condiciones de bioseguridad en los centros de limpieza y desinfección e instalaciones de producción de material vegetal de reproducción.</w:t>
      </w:r>
    </w:p>
    <w:p w:rsidR="0099685D" w:rsidRPr="00EE385D" w:rsidRDefault="0099685D" w:rsidP="0091342A">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5F0FE4">
        <w:rPr>
          <w:rFonts w:ascii="Arial" w:hAnsi="Arial" w:cs="Arial"/>
          <w:sz w:val="22"/>
          <w:szCs w:val="22"/>
        </w:rPr>
        <w:t>Estrategia de Digitalización del sector Agroalimentario y del Medio Rural</w:t>
      </w:r>
      <w:r w:rsidRPr="00EE385D">
        <w:rPr>
          <w:rFonts w:ascii="Arial" w:hAnsi="Arial" w:cs="Arial"/>
          <w:sz w:val="22"/>
          <w:szCs w:val="22"/>
        </w:rPr>
        <w:t xml:space="preserve">. Programa de actuaciones para el impulso de la digitalización en el sector agroalimentario y del medio rural en su conjunto. </w:t>
      </w:r>
    </w:p>
    <w:p w:rsidR="0099685D" w:rsidRDefault="0099685D" w:rsidP="0091342A">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5F0FE4">
        <w:rPr>
          <w:rFonts w:ascii="Arial" w:hAnsi="Arial" w:cs="Arial"/>
          <w:sz w:val="22"/>
          <w:szCs w:val="22"/>
        </w:rPr>
        <w:t>Plan de impulso a la sostenibilidad, investigación, innovación y digitalización del sector pesquero. Centrado en la mejora y modernización del sector pesquero desde el punto de vista sostenible.</w:t>
      </w:r>
    </w:p>
    <w:p w:rsidR="00517824" w:rsidRPr="00517824" w:rsidRDefault="00517824" w:rsidP="008050DB">
      <w:pPr>
        <w:spacing w:before="120" w:after="120" w:line="360" w:lineRule="auto"/>
        <w:rPr>
          <w:rFonts w:ascii="Arial" w:hAnsi="Arial" w:cs="Arial"/>
          <w:b/>
          <w:sz w:val="22"/>
          <w:szCs w:val="22"/>
        </w:rPr>
      </w:pPr>
      <w:r w:rsidRPr="00517824">
        <w:rPr>
          <w:rFonts w:ascii="Arial" w:hAnsi="Arial" w:cs="Arial"/>
          <w:b/>
          <w:sz w:val="22"/>
          <w:szCs w:val="22"/>
        </w:rPr>
        <w:t xml:space="preserve">3. </w:t>
      </w:r>
      <w:r w:rsidR="008D4D4C" w:rsidRPr="00517824">
        <w:rPr>
          <w:rFonts w:ascii="Arial" w:hAnsi="Arial" w:cs="Arial"/>
          <w:b/>
          <w:sz w:val="22"/>
          <w:szCs w:val="22"/>
        </w:rPr>
        <w:t>PRINC</w:t>
      </w:r>
      <w:r w:rsidR="008D4D4C">
        <w:rPr>
          <w:rFonts w:ascii="Arial" w:hAnsi="Arial" w:cs="Arial"/>
          <w:b/>
          <w:sz w:val="22"/>
          <w:szCs w:val="22"/>
        </w:rPr>
        <w:t>IPALES OBJETIVOS DEL COMPONENTE</w:t>
      </w:r>
    </w:p>
    <w:p w:rsidR="00517824" w:rsidRPr="00EE3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En el ámbito del sector agroalimentario las inversiones programadas tienen como objetivos mejorar las capacidades de lucha contra las enfermedades de los animales y las plantas, a través del refuerzo de los laboratorios oficiales del Ministerio y apoyando las inversiones de las empresas privadas en la mejora</w:t>
      </w:r>
      <w:bookmarkStart w:id="0" w:name="_GoBack"/>
      <w:bookmarkEnd w:id="0"/>
      <w:r w:rsidRPr="00EE385D">
        <w:rPr>
          <w:rFonts w:ascii="Arial" w:hAnsi="Arial" w:cs="Arial"/>
          <w:sz w:val="22"/>
          <w:szCs w:val="22"/>
        </w:rPr>
        <w:t xml:space="preserve"> de la bioseguridad de las explotaciones, lo que además permitirá reducir el uso de pesticidas y antimicrobianos, en línea con los objetivos de la estrategia “de la granja a la mesa”. Se abordará un plan de inversiones en modernización de regadíos para fomentar el ahorro del agua y la mejora de la eficiencia y la sostenibilidad energética en los regadíos españoles. De esta forma, con estas inversiones se pondrán a disposición del regante sistemas de riego más eficientes para poder cumplir así con los requerimientos de reducción de la presión de extracciones establecidos por la autoridad competente en materia de planificación hidrológica. Se apoyarán inversiones en explotaciones agrarias e industrias agroalimentarias tendentes a la reutilización y valorización de residuos, avanzando hacia una economía circular; a la introducción de tecnologías digitales en los procesos y a la adopción de planes de mejora de la eficiencia energética, todas ellas para reducir el uso de insumos y el impacto en el medio. Se reforzarán los medios del Estado para el control de las actividades pesqueras y para la conservación de los ecosistemas marinos, así como para la investigación y la formación en materia de recursos marinos.</w:t>
      </w:r>
    </w:p>
    <w:p w:rsidR="0099685D" w:rsidRPr="00EE3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En el ámbito del sector pesquero, el Plan busca dar un impulso a la sostenibilidad, investigación, innovación y digitalización del sector pesquero facilitando una mejor gestión pesquera y contribuyendo a situar a la flota española, en niveles avanzados en aspectos </w:t>
      </w:r>
      <w:r w:rsidRPr="00EE385D">
        <w:rPr>
          <w:rFonts w:ascii="Arial" w:hAnsi="Arial" w:cs="Arial"/>
          <w:sz w:val="22"/>
          <w:szCs w:val="22"/>
        </w:rPr>
        <w:lastRenderedPageBreak/>
        <w:t>como el digital, tecnológico y ecológico. Apoya la transición ecológica en el sector y contribuye al impulso a la economía circular en este sector y a la economía azul, favoreciendo el desarrollo de las comunidades del litoral y su sostenibilidad económica y social.</w:t>
      </w:r>
    </w:p>
    <w:p w:rsidR="0099685D" w:rsidRPr="00EE3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En ese sentido, las inversiones planteadas tienen como objetivo favorecer la consecución de las metas establecidas entre otros por Política Agr</w:t>
      </w:r>
      <w:r w:rsidR="00C40D0E">
        <w:rPr>
          <w:rFonts w:ascii="Arial" w:hAnsi="Arial" w:cs="Arial"/>
          <w:sz w:val="22"/>
          <w:szCs w:val="22"/>
        </w:rPr>
        <w:t>aria</w:t>
      </w:r>
      <w:r w:rsidRPr="00EE385D">
        <w:rPr>
          <w:rFonts w:ascii="Arial" w:hAnsi="Arial" w:cs="Arial"/>
          <w:sz w:val="22"/>
          <w:szCs w:val="22"/>
        </w:rPr>
        <w:t xml:space="preserve"> Común, la Política Pesquera Común, la Estrategia de Biodiversidad 2030, la Estrategia de la Granja a la Mesa, así como de los Objetivos de Desarrollo Sostenible establecidos por la Agenda 2030 y los objetivos del Acuerdo de París. </w:t>
      </w:r>
    </w:p>
    <w:p w:rsidR="0099685D" w:rsidRPr="00EE3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La gran mayoría de estas inversiones se adaptan especialmente a las recomendaciones específicas de la Comisión para España (</w:t>
      </w:r>
      <w:proofErr w:type="spellStart"/>
      <w:r w:rsidRPr="00EE385D">
        <w:rPr>
          <w:rFonts w:ascii="Arial" w:hAnsi="Arial" w:cs="Arial"/>
          <w:sz w:val="22"/>
          <w:szCs w:val="22"/>
        </w:rPr>
        <w:t>CSRs</w:t>
      </w:r>
      <w:proofErr w:type="spellEnd"/>
      <w:r w:rsidRPr="00EE385D">
        <w:rPr>
          <w:rFonts w:ascii="Arial" w:hAnsi="Arial" w:cs="Arial"/>
          <w:sz w:val="22"/>
          <w:szCs w:val="22"/>
        </w:rPr>
        <w:t>) relativas al fomento de la innovación y la eficiencia energética, el mejor uso de los recursos, el respaldo a la recuperación económica, el aprendizaje digital y la transformación ecológica y digital de un sector tan importante para la economía.</w:t>
      </w:r>
    </w:p>
    <w:p w:rsidR="0099685D" w:rsidRPr="00EE3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Vinculación y coherencia con el </w:t>
      </w:r>
      <w:r w:rsidR="00C40D0E">
        <w:rPr>
          <w:rFonts w:ascii="Arial" w:hAnsi="Arial" w:cs="Arial"/>
          <w:sz w:val="22"/>
          <w:szCs w:val="22"/>
        </w:rPr>
        <w:t>c</w:t>
      </w:r>
      <w:r w:rsidRPr="00EE385D">
        <w:rPr>
          <w:rFonts w:ascii="Arial" w:hAnsi="Arial" w:cs="Arial"/>
          <w:sz w:val="22"/>
          <w:szCs w:val="22"/>
        </w:rPr>
        <w:t>omponente 4 (Ecosistemas y Biodiversidad) en lo que atañe a la reforma 4 y la inversión 1 relativas a la modernización de regadíos:</w:t>
      </w:r>
    </w:p>
    <w:p w:rsidR="0099685D" w:rsidRPr="00EE3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Teniendo en cuenta el objetivo de este componente 4, las inversiones en modernización de regadíos y la reforma relativa a la mejora de la gobernanza en materia de regadíos contribuirían a su consecución. La modernización de regadíos permite el desarrollo de una actividad agraria rentable para el agricultor, asegurando su asentamiento en el medio rural y la fijación de población en estos territorios. Esta actividad sostenible vinculada a la actividad del regadío evita el abandono de la tierra, la erosión y la desertificación, contribuyendo también a preservar los ecosistemas y el patrimonio histórico. Así mismo, el principal objetivo de estas inversiones en la modernización de regadíos es garantizar un uso sostenible de los recursos naturales, objetivo que también persigue el </w:t>
      </w:r>
      <w:r w:rsidR="00C40D0E">
        <w:rPr>
          <w:rFonts w:ascii="Arial" w:hAnsi="Arial" w:cs="Arial"/>
          <w:sz w:val="22"/>
          <w:szCs w:val="22"/>
        </w:rPr>
        <w:t>c</w:t>
      </w:r>
      <w:r w:rsidRPr="00EE385D">
        <w:rPr>
          <w:rFonts w:ascii="Arial" w:hAnsi="Arial" w:cs="Arial"/>
          <w:sz w:val="22"/>
          <w:szCs w:val="22"/>
        </w:rPr>
        <w:t xml:space="preserve">omponente 4 del PRTR. </w:t>
      </w:r>
    </w:p>
    <w:p w:rsidR="0099685D" w:rsidRPr="00EE3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Asimismo, todas las actuaciones de modernización de regadíos están sujetas a la normativa estatal de evaluación de impacto ambiental, con el fin de garantizar que su ejecución no supone un perjuicio sobre el ecosistema en el que se desarrollan, y que son, por tanto, respetuosas con el medio ambiente.</w:t>
      </w:r>
    </w:p>
    <w:p w:rsidR="0099685D" w:rsidRPr="00EE3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Vinculación y coherencia con el </w:t>
      </w:r>
      <w:r w:rsidR="00C40D0E">
        <w:rPr>
          <w:rFonts w:ascii="Arial" w:hAnsi="Arial" w:cs="Arial"/>
          <w:sz w:val="22"/>
          <w:szCs w:val="22"/>
        </w:rPr>
        <w:t>c</w:t>
      </w:r>
      <w:r w:rsidRPr="00EE385D">
        <w:rPr>
          <w:rFonts w:ascii="Arial" w:hAnsi="Arial" w:cs="Arial"/>
          <w:sz w:val="22"/>
          <w:szCs w:val="22"/>
        </w:rPr>
        <w:t>omponente 5 (Recursos Hídricos) en lo que atañe a la reforma 4 y la inversión 1 relativas a la modernización de regadíos:</w:t>
      </w:r>
    </w:p>
    <w:p w:rsidR="00996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 xml:space="preserve">Las inversiones en modernización de regadíos y la reforma relativa a la mejora de la gobernanza en materia de regadíos comparten objetivos con el Componente 5 (Recursos </w:t>
      </w:r>
      <w:r w:rsidRPr="00EE385D">
        <w:rPr>
          <w:rFonts w:ascii="Arial" w:hAnsi="Arial" w:cs="Arial"/>
          <w:sz w:val="22"/>
          <w:szCs w:val="22"/>
        </w:rPr>
        <w:lastRenderedPageBreak/>
        <w:t>Hídricos). Ambos componentes contribuyen a cumplir con los objetivos marcados en la Directiva Marco del Agua, la Directiva Nitratos y el Reglamento de Aguas Regeneradas. Se persigue así alcanzar los objetivos ambientales en las masas de agua superficiales y subterráneas, reduciendo la presión fundamentalmente en aquellas que no se encuentren en un buen estado ecológico; se persigue, asimismo, la reducción de la contaminación difusa por Nitratos y un uso más extendido de las aguas regeneradas en la agricultura, que contribuya tanto a la reducción de la contaminación de las aguas y el suelo por un menor uso de fertilizantes, como a los objetivos de la economía circular, en línea con el Plan de Acción Europeo y la Estrategia española de economía circular.</w:t>
      </w:r>
    </w:p>
    <w:p w:rsidR="00517824" w:rsidRPr="00517824" w:rsidRDefault="003B5B78" w:rsidP="008050DB">
      <w:pPr>
        <w:spacing w:before="120" w:after="120" w:line="360" w:lineRule="auto"/>
        <w:rPr>
          <w:rFonts w:ascii="Arial" w:hAnsi="Arial" w:cs="Arial"/>
          <w:b/>
          <w:sz w:val="22"/>
          <w:szCs w:val="22"/>
        </w:rPr>
      </w:pPr>
      <w:r>
        <w:rPr>
          <w:rFonts w:ascii="Arial" w:hAnsi="Arial" w:cs="Arial"/>
          <w:b/>
          <w:sz w:val="22"/>
          <w:szCs w:val="22"/>
        </w:rPr>
        <w:t xml:space="preserve">4. </w:t>
      </w:r>
      <w:r w:rsidR="00E745AB">
        <w:rPr>
          <w:rFonts w:ascii="Arial" w:hAnsi="Arial" w:cs="Arial"/>
          <w:b/>
          <w:sz w:val="22"/>
          <w:szCs w:val="22"/>
        </w:rPr>
        <w:t>DESCRIPCIÓN DE LA INVERSIÓN</w:t>
      </w:r>
    </w:p>
    <w:p w:rsidR="0099685D" w:rsidRPr="005F0FE4"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Desarrollo de la infraestructura necesaria para construir laboratorios instalaciones con nivel 3 de seguridad biológica, incluyendo sistemas de descontaminación y accesos restringidos a la instalación.</w:t>
      </w:r>
    </w:p>
    <w:p w:rsidR="0099685D" w:rsidRDefault="00996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Es necesaria la modernización para abordar con mayor eficiencia el trabajo como Laboratorios de Referencia Internacional. Su objetivo es mejorar la seguridad alimentaria en el conjunto del sector agrícola y ganadero consiguiendo actuaciones rápidas ante brotes de enfermedades animales, zoonosis (enfermedades animales que afectan también al ser humano) y plagas vegetales</w:t>
      </w:r>
      <w:r w:rsidRPr="005F0FE4">
        <w:rPr>
          <w:rFonts w:ascii="Arial" w:hAnsi="Arial" w:cs="Arial"/>
          <w:sz w:val="22"/>
          <w:szCs w:val="22"/>
        </w:rPr>
        <w:t>.</w:t>
      </w:r>
    </w:p>
    <w:p w:rsidR="00517824" w:rsidRDefault="00517824" w:rsidP="008050DB">
      <w:pPr>
        <w:spacing w:before="120" w:after="120" w:line="360" w:lineRule="auto"/>
        <w:rPr>
          <w:rFonts w:ascii="Arial" w:hAnsi="Arial" w:cs="Arial"/>
          <w:b/>
          <w:sz w:val="22"/>
          <w:szCs w:val="22"/>
        </w:rPr>
      </w:pPr>
      <w:r w:rsidRPr="00517824">
        <w:rPr>
          <w:rFonts w:ascii="Arial" w:hAnsi="Arial" w:cs="Arial"/>
          <w:b/>
          <w:sz w:val="22"/>
          <w:szCs w:val="22"/>
        </w:rPr>
        <w:t>5</w:t>
      </w:r>
      <w:r w:rsidR="00E745AB" w:rsidRPr="00517824">
        <w:rPr>
          <w:rFonts w:ascii="Arial" w:hAnsi="Arial" w:cs="Arial"/>
          <w:b/>
          <w:sz w:val="22"/>
          <w:szCs w:val="22"/>
        </w:rPr>
        <w:t>. COSTE DE LA INVE</w:t>
      </w:r>
      <w:r w:rsidR="00E745AB">
        <w:rPr>
          <w:rFonts w:ascii="Arial" w:hAnsi="Arial" w:cs="Arial"/>
          <w:b/>
          <w:sz w:val="22"/>
          <w:szCs w:val="22"/>
        </w:rPr>
        <w:t>RSIÓN Y DISTRIBUCIÓN ANUALIZADA</w:t>
      </w:r>
    </w:p>
    <w:p w:rsidR="0091342A" w:rsidRPr="0091342A" w:rsidRDefault="0091342A" w:rsidP="0091342A">
      <w:pPr>
        <w:spacing w:before="100"/>
        <w:ind w:left="426" w:right="141"/>
        <w:jc w:val="right"/>
        <w:rPr>
          <w:rFonts w:ascii="Arial" w:hAnsi="Arial" w:cs="Arial"/>
          <w:sz w:val="18"/>
          <w:szCs w:val="18"/>
        </w:rPr>
      </w:pPr>
      <w:r w:rsidRPr="0091342A">
        <w:rPr>
          <w:rFonts w:ascii="Arial" w:hAnsi="Arial" w:cs="Arial"/>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829"/>
      </w:tblGrid>
      <w:tr w:rsidR="008050DB" w:rsidTr="00EE1B46">
        <w:trPr>
          <w:trHeight w:val="337"/>
          <w:tblHeader/>
          <w:jc w:val="center"/>
        </w:trPr>
        <w:tc>
          <w:tcPr>
            <w:tcW w:w="2112" w:type="dxa"/>
            <w:vAlign w:val="center"/>
            <w:hideMark/>
          </w:tcPr>
          <w:p w:rsidR="008050DB" w:rsidRDefault="008050DB">
            <w:pPr>
              <w:spacing w:before="120" w:after="120"/>
              <w:ind w:left="31"/>
              <w:rPr>
                <w:rFonts w:ascii="Arial" w:hAnsi="Arial" w:cs="Arial"/>
                <w:b/>
                <w:sz w:val="18"/>
                <w:szCs w:val="18"/>
              </w:rPr>
            </w:pPr>
            <w:r>
              <w:rPr>
                <w:rFonts w:ascii="Arial" w:hAnsi="Arial" w:cs="Arial"/>
                <w:b/>
                <w:sz w:val="18"/>
                <w:szCs w:val="18"/>
              </w:rPr>
              <w:t>PERIODIFICACIÓN</w:t>
            </w:r>
          </w:p>
        </w:tc>
        <w:tc>
          <w:tcPr>
            <w:tcW w:w="851" w:type="dxa"/>
            <w:vAlign w:val="center"/>
            <w:hideMark/>
          </w:tcPr>
          <w:p w:rsidR="008050DB" w:rsidRDefault="008050DB">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rsidR="008050DB" w:rsidRDefault="008050DB">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rsidR="008050DB" w:rsidRDefault="008050DB">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rsidR="008050DB" w:rsidRDefault="008050DB">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rsidR="008050DB" w:rsidRDefault="008050DB">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rsidR="008050DB" w:rsidRDefault="008050DB">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rsidR="008050DB" w:rsidRDefault="008050DB">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rsidR="008050DB" w:rsidRDefault="008050DB">
            <w:pPr>
              <w:spacing w:before="120" w:after="120"/>
              <w:ind w:left="-83"/>
              <w:jc w:val="center"/>
              <w:rPr>
                <w:rFonts w:ascii="Arial" w:hAnsi="Arial" w:cs="Arial"/>
                <w:b/>
                <w:sz w:val="18"/>
                <w:szCs w:val="18"/>
              </w:rPr>
            </w:pPr>
            <w:r>
              <w:rPr>
                <w:rFonts w:ascii="Arial" w:hAnsi="Arial" w:cs="Arial"/>
                <w:b/>
                <w:sz w:val="18"/>
                <w:szCs w:val="18"/>
              </w:rPr>
              <w:t>Total</w:t>
            </w:r>
          </w:p>
        </w:tc>
      </w:tr>
      <w:tr w:rsidR="008050DB" w:rsidTr="00EE1B46">
        <w:trPr>
          <w:trHeight w:hRule="exact" w:val="342"/>
          <w:jc w:val="center"/>
        </w:trPr>
        <w:tc>
          <w:tcPr>
            <w:tcW w:w="2112" w:type="dxa"/>
            <w:vAlign w:val="center"/>
            <w:hideMark/>
          </w:tcPr>
          <w:p w:rsidR="008050DB" w:rsidRDefault="008050DB">
            <w:pPr>
              <w:spacing w:before="60" w:after="60"/>
              <w:ind w:left="31"/>
              <w:rPr>
                <w:rFonts w:ascii="Arial" w:hAnsi="Arial" w:cs="Arial"/>
                <w:sz w:val="18"/>
                <w:szCs w:val="18"/>
              </w:rPr>
            </w:pPr>
            <w:r>
              <w:rPr>
                <w:rFonts w:ascii="Arial" w:hAnsi="Arial" w:cs="Arial"/>
                <w:sz w:val="18"/>
                <w:szCs w:val="18"/>
              </w:rPr>
              <w:t>Coste del Mecanismo</w:t>
            </w:r>
          </w:p>
        </w:tc>
        <w:tc>
          <w:tcPr>
            <w:tcW w:w="851" w:type="dxa"/>
            <w:vAlign w:val="center"/>
          </w:tcPr>
          <w:p w:rsidR="008050DB" w:rsidRDefault="008050DB">
            <w:pPr>
              <w:spacing w:before="60" w:after="60"/>
              <w:ind w:left="-83"/>
              <w:jc w:val="right"/>
              <w:rPr>
                <w:rFonts w:ascii="Arial" w:hAnsi="Arial" w:cs="Arial"/>
                <w:sz w:val="12"/>
                <w:szCs w:val="12"/>
              </w:rPr>
            </w:pPr>
          </w:p>
        </w:tc>
        <w:tc>
          <w:tcPr>
            <w:tcW w:w="851" w:type="dxa"/>
            <w:vAlign w:val="center"/>
          </w:tcPr>
          <w:p w:rsidR="008050DB" w:rsidRDefault="0091342A">
            <w:pPr>
              <w:spacing w:before="60" w:after="60"/>
              <w:ind w:left="-83"/>
              <w:jc w:val="right"/>
              <w:rPr>
                <w:rFonts w:ascii="Arial" w:hAnsi="Arial" w:cs="Arial"/>
                <w:noProof/>
                <w:sz w:val="12"/>
                <w:szCs w:val="12"/>
              </w:rPr>
            </w:pPr>
            <w:r w:rsidRPr="008E51D4">
              <w:rPr>
                <w:rFonts w:ascii="Arial" w:hAnsi="Arial" w:cs="Arial"/>
                <w:noProof/>
                <w:sz w:val="18"/>
                <w:szCs w:val="18"/>
              </w:rPr>
              <w:t>3.189</w:t>
            </w:r>
          </w:p>
        </w:tc>
        <w:tc>
          <w:tcPr>
            <w:tcW w:w="851" w:type="dxa"/>
            <w:vAlign w:val="center"/>
          </w:tcPr>
          <w:p w:rsidR="008050DB" w:rsidRDefault="0091342A">
            <w:pPr>
              <w:spacing w:before="60" w:after="60"/>
              <w:ind w:left="-83"/>
              <w:jc w:val="right"/>
              <w:rPr>
                <w:rFonts w:ascii="Arial" w:hAnsi="Arial" w:cs="Arial"/>
                <w:noProof/>
                <w:sz w:val="18"/>
                <w:szCs w:val="18"/>
              </w:rPr>
            </w:pPr>
            <w:r w:rsidRPr="008E51D4">
              <w:rPr>
                <w:rFonts w:ascii="Arial" w:hAnsi="Arial" w:cs="Arial"/>
                <w:noProof/>
                <w:sz w:val="18"/>
                <w:szCs w:val="18"/>
              </w:rPr>
              <w:t>3.</w:t>
            </w:r>
            <w:r>
              <w:rPr>
                <w:rFonts w:ascii="Arial" w:hAnsi="Arial" w:cs="Arial"/>
                <w:noProof/>
                <w:sz w:val="18"/>
                <w:szCs w:val="18"/>
              </w:rPr>
              <w:t>811</w:t>
            </w:r>
          </w:p>
        </w:tc>
        <w:tc>
          <w:tcPr>
            <w:tcW w:w="851" w:type="dxa"/>
            <w:vAlign w:val="center"/>
          </w:tcPr>
          <w:p w:rsidR="008050DB" w:rsidRDefault="0091342A">
            <w:pPr>
              <w:spacing w:before="60" w:after="60"/>
              <w:ind w:left="-83"/>
              <w:jc w:val="right"/>
              <w:rPr>
                <w:rFonts w:ascii="Arial" w:hAnsi="Arial" w:cs="Arial"/>
                <w:noProof/>
                <w:sz w:val="12"/>
                <w:szCs w:val="12"/>
              </w:rPr>
            </w:pPr>
            <w:r w:rsidRPr="008E51D4">
              <w:rPr>
                <w:rFonts w:ascii="Arial" w:hAnsi="Arial" w:cs="Arial"/>
                <w:noProof/>
                <w:sz w:val="18"/>
                <w:szCs w:val="18"/>
              </w:rPr>
              <w:t>3.000</w:t>
            </w: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91342A">
            <w:pPr>
              <w:spacing w:before="60" w:after="60"/>
              <w:ind w:left="-83"/>
              <w:jc w:val="right"/>
              <w:rPr>
                <w:rFonts w:ascii="Arial" w:hAnsi="Arial" w:cs="Arial"/>
                <w:noProof/>
                <w:sz w:val="18"/>
                <w:szCs w:val="18"/>
              </w:rPr>
            </w:pPr>
            <w:r w:rsidRPr="008E51D4">
              <w:rPr>
                <w:rFonts w:ascii="Arial" w:hAnsi="Arial" w:cs="Arial"/>
                <w:noProof/>
                <w:sz w:val="18"/>
                <w:szCs w:val="18"/>
              </w:rPr>
              <w:t>10.000</w:t>
            </w:r>
          </w:p>
        </w:tc>
      </w:tr>
      <w:tr w:rsidR="008050DB" w:rsidTr="00EE1B46">
        <w:trPr>
          <w:trHeight w:hRule="exact" w:val="340"/>
          <w:jc w:val="center"/>
        </w:trPr>
        <w:tc>
          <w:tcPr>
            <w:tcW w:w="2112" w:type="dxa"/>
            <w:vAlign w:val="center"/>
            <w:hideMark/>
          </w:tcPr>
          <w:p w:rsidR="008050DB" w:rsidRDefault="008050DB">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8050DB">
            <w:pPr>
              <w:spacing w:before="60" w:after="60"/>
              <w:ind w:left="-83"/>
              <w:jc w:val="right"/>
              <w:rPr>
                <w:rFonts w:ascii="Arial" w:hAnsi="Arial" w:cs="Arial"/>
                <w:noProof/>
                <w:sz w:val="12"/>
                <w:szCs w:val="12"/>
              </w:rPr>
            </w:pPr>
          </w:p>
        </w:tc>
      </w:tr>
      <w:tr w:rsidR="008050DB" w:rsidTr="00EE1B46">
        <w:trPr>
          <w:trHeight w:hRule="exact" w:val="340"/>
          <w:jc w:val="center"/>
        </w:trPr>
        <w:tc>
          <w:tcPr>
            <w:tcW w:w="2112" w:type="dxa"/>
            <w:vAlign w:val="center"/>
            <w:hideMark/>
          </w:tcPr>
          <w:p w:rsidR="008050DB" w:rsidRDefault="008050DB">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91342A">
            <w:pPr>
              <w:spacing w:before="60" w:after="60"/>
              <w:ind w:left="-83"/>
              <w:jc w:val="right"/>
              <w:rPr>
                <w:rFonts w:ascii="Arial" w:hAnsi="Arial" w:cs="Arial"/>
                <w:noProof/>
                <w:sz w:val="12"/>
                <w:szCs w:val="12"/>
              </w:rPr>
            </w:pPr>
            <w:r w:rsidRPr="004B569F">
              <w:rPr>
                <w:rFonts w:ascii="Arial" w:hAnsi="Arial" w:cs="Arial"/>
                <w:noProof/>
                <w:sz w:val="18"/>
                <w:szCs w:val="18"/>
              </w:rPr>
              <w:t>3.189</w:t>
            </w:r>
          </w:p>
        </w:tc>
        <w:tc>
          <w:tcPr>
            <w:tcW w:w="851" w:type="dxa"/>
            <w:vAlign w:val="center"/>
          </w:tcPr>
          <w:p w:rsidR="008050DB" w:rsidRDefault="0091342A">
            <w:pPr>
              <w:spacing w:before="60" w:after="60"/>
              <w:ind w:left="-83"/>
              <w:jc w:val="right"/>
              <w:rPr>
                <w:rFonts w:ascii="Arial" w:hAnsi="Arial" w:cs="Arial"/>
                <w:noProof/>
                <w:sz w:val="12"/>
                <w:szCs w:val="12"/>
              </w:rPr>
            </w:pPr>
            <w:r w:rsidRPr="004B569F">
              <w:rPr>
                <w:rFonts w:ascii="Arial" w:hAnsi="Arial" w:cs="Arial"/>
                <w:noProof/>
                <w:sz w:val="18"/>
                <w:szCs w:val="18"/>
              </w:rPr>
              <w:t>3.</w:t>
            </w:r>
            <w:r>
              <w:rPr>
                <w:rFonts w:ascii="Arial" w:hAnsi="Arial" w:cs="Arial"/>
                <w:noProof/>
                <w:sz w:val="18"/>
                <w:szCs w:val="18"/>
              </w:rPr>
              <w:t>811</w:t>
            </w:r>
          </w:p>
        </w:tc>
        <w:tc>
          <w:tcPr>
            <w:tcW w:w="851" w:type="dxa"/>
            <w:vAlign w:val="center"/>
          </w:tcPr>
          <w:p w:rsidR="008050DB" w:rsidRDefault="0091342A">
            <w:pPr>
              <w:spacing w:before="60" w:after="60"/>
              <w:ind w:left="-83"/>
              <w:jc w:val="right"/>
              <w:rPr>
                <w:rFonts w:ascii="Arial" w:hAnsi="Arial" w:cs="Arial"/>
                <w:noProof/>
                <w:sz w:val="12"/>
                <w:szCs w:val="12"/>
              </w:rPr>
            </w:pPr>
            <w:r w:rsidRPr="004B569F">
              <w:rPr>
                <w:rFonts w:ascii="Arial" w:hAnsi="Arial" w:cs="Arial"/>
                <w:noProof/>
                <w:sz w:val="18"/>
                <w:szCs w:val="18"/>
              </w:rPr>
              <w:t>3.000</w:t>
            </w: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8050DB">
            <w:pPr>
              <w:spacing w:before="60" w:after="60"/>
              <w:ind w:left="-83"/>
              <w:jc w:val="right"/>
              <w:rPr>
                <w:rFonts w:ascii="Arial" w:hAnsi="Arial" w:cs="Arial"/>
                <w:noProof/>
                <w:sz w:val="12"/>
                <w:szCs w:val="12"/>
              </w:rPr>
            </w:pPr>
          </w:p>
        </w:tc>
        <w:tc>
          <w:tcPr>
            <w:tcW w:w="851" w:type="dxa"/>
            <w:vAlign w:val="center"/>
          </w:tcPr>
          <w:p w:rsidR="008050DB" w:rsidRDefault="0091342A">
            <w:pPr>
              <w:spacing w:before="60" w:after="60"/>
              <w:ind w:left="-83"/>
              <w:jc w:val="right"/>
              <w:rPr>
                <w:rFonts w:ascii="Arial" w:hAnsi="Arial" w:cs="Arial"/>
                <w:noProof/>
                <w:sz w:val="12"/>
                <w:szCs w:val="12"/>
              </w:rPr>
            </w:pPr>
            <w:r w:rsidRPr="004B569F">
              <w:rPr>
                <w:rFonts w:ascii="Arial" w:hAnsi="Arial" w:cs="Arial"/>
                <w:noProof/>
                <w:sz w:val="18"/>
                <w:szCs w:val="18"/>
              </w:rPr>
              <w:t>10.000</w:t>
            </w:r>
          </w:p>
        </w:tc>
      </w:tr>
    </w:tbl>
    <w:p w:rsidR="00517824" w:rsidRPr="00517824" w:rsidRDefault="00517824" w:rsidP="0091342A">
      <w:pPr>
        <w:spacing w:before="240" w:after="120" w:line="360" w:lineRule="auto"/>
        <w:rPr>
          <w:rFonts w:ascii="Arial" w:hAnsi="Arial" w:cs="Arial"/>
          <w:b/>
          <w:sz w:val="22"/>
          <w:szCs w:val="22"/>
        </w:rPr>
      </w:pPr>
      <w:r w:rsidRPr="00517824">
        <w:rPr>
          <w:rFonts w:ascii="Arial" w:hAnsi="Arial" w:cs="Arial"/>
          <w:b/>
          <w:sz w:val="22"/>
          <w:szCs w:val="22"/>
        </w:rPr>
        <w:t xml:space="preserve">6. </w:t>
      </w:r>
      <w:r w:rsidR="00E745AB" w:rsidRPr="00517824">
        <w:rPr>
          <w:rFonts w:ascii="Arial" w:hAnsi="Arial" w:cs="Arial"/>
          <w:b/>
          <w:sz w:val="22"/>
          <w:szCs w:val="22"/>
        </w:rPr>
        <w:t>HI</w:t>
      </w:r>
      <w:r w:rsidR="00E745AB">
        <w:rPr>
          <w:rFonts w:ascii="Arial" w:hAnsi="Arial" w:cs="Arial"/>
          <w:b/>
          <w:sz w:val="22"/>
          <w:szCs w:val="22"/>
        </w:rPr>
        <w:t>TOS Y OBJETIVOS DE LA INVERSIÓN</w:t>
      </w:r>
      <w:r w:rsidR="00E745AB" w:rsidRPr="00517824">
        <w:rPr>
          <w:rFonts w:ascii="Arial" w:hAnsi="Arial" w:cs="Arial"/>
          <w:b/>
          <w:sz w:val="22"/>
          <w:szCs w:val="22"/>
        </w:rPr>
        <w:t xml:space="preserve"> </w:t>
      </w:r>
    </w:p>
    <w:p w:rsidR="00EE385D" w:rsidRPr="005F0FE4" w:rsidRDefault="00EE385D" w:rsidP="008050DB">
      <w:pPr>
        <w:spacing w:before="120" w:after="120" w:line="360" w:lineRule="auto"/>
        <w:ind w:firstLine="708"/>
        <w:jc w:val="both"/>
        <w:rPr>
          <w:rFonts w:ascii="Arial" w:hAnsi="Arial" w:cs="Arial"/>
          <w:sz w:val="22"/>
          <w:szCs w:val="22"/>
        </w:rPr>
      </w:pPr>
      <w:r w:rsidRPr="00EE385D">
        <w:rPr>
          <w:rFonts w:ascii="Arial" w:hAnsi="Arial" w:cs="Arial"/>
          <w:sz w:val="22"/>
          <w:szCs w:val="22"/>
        </w:rPr>
        <w:t>La implementación de la inversión se llevará a cabo mediante la aprobación del proyecto y la adjudicación de las obras de modificación y ampliación del Laboratorio Central de Veterinaria de Algete, en Madrid; el Laboratorio Central de Sanidad Animal de Santa Fe, en Granada; y el Laboratorio Nacional de Sanidad Vegetal, en Lugo.</w:t>
      </w:r>
    </w:p>
    <w:p w:rsidR="00517824" w:rsidRDefault="006F2052" w:rsidP="008050DB">
      <w:pPr>
        <w:spacing w:before="120" w:after="120" w:line="360" w:lineRule="auto"/>
        <w:ind w:firstLine="708"/>
        <w:jc w:val="both"/>
        <w:rPr>
          <w:rFonts w:ascii="Arial" w:hAnsi="Arial" w:cs="Arial"/>
          <w:sz w:val="22"/>
          <w:szCs w:val="22"/>
        </w:rPr>
      </w:pPr>
      <w:r>
        <w:rPr>
          <w:rFonts w:ascii="Arial" w:hAnsi="Arial" w:cs="Arial"/>
          <w:sz w:val="22"/>
          <w:szCs w:val="22"/>
        </w:rPr>
        <w:t>Objetivo: cuarto trimestre de 2023</w:t>
      </w:r>
      <w:r w:rsidR="00EE385D" w:rsidRPr="005F0FE4">
        <w:rPr>
          <w:rFonts w:ascii="Arial" w:hAnsi="Arial" w:cs="Arial"/>
          <w:sz w:val="22"/>
          <w:szCs w:val="22"/>
        </w:rPr>
        <w:t>:</w:t>
      </w:r>
      <w:r>
        <w:rPr>
          <w:rFonts w:ascii="Arial" w:hAnsi="Arial" w:cs="Arial"/>
          <w:sz w:val="22"/>
          <w:szCs w:val="22"/>
        </w:rPr>
        <w:t xml:space="preserve"> Entrada en funcionamiento de dos laboratorios de salud animal, ambos con nivel 3 de bioseguridad y un laboratorio de sanidad vegetal.</w:t>
      </w:r>
      <w:r w:rsidR="00EE385D" w:rsidRPr="005F0FE4">
        <w:rPr>
          <w:rFonts w:ascii="Arial" w:hAnsi="Arial" w:cs="Arial"/>
          <w:sz w:val="22"/>
          <w:szCs w:val="22"/>
        </w:rPr>
        <w:t xml:space="preserve"> </w:t>
      </w:r>
    </w:p>
    <w:sectPr w:rsidR="00517824" w:rsidSect="00EE1B46">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1CA127D"/>
    <w:multiLevelType w:val="hybridMultilevel"/>
    <w:tmpl w:val="A4BE814A"/>
    <w:lvl w:ilvl="0" w:tplc="9B8E253A">
      <w:start w:val="1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35A19AA"/>
    <w:multiLevelType w:val="hybridMultilevel"/>
    <w:tmpl w:val="802ED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DF56D90"/>
    <w:multiLevelType w:val="hybridMultilevel"/>
    <w:tmpl w:val="2164812C"/>
    <w:lvl w:ilvl="0" w:tplc="8FCCE968">
      <w:start w:val="1"/>
      <w:numFmt w:val="bullet"/>
      <w:lvlText w:val="-"/>
      <w:lvlJc w:val="left"/>
      <w:pPr>
        <w:ind w:left="360" w:hanging="360"/>
      </w:pPr>
      <w:rPr>
        <w:rFonts w:ascii="Calibri" w:eastAsia="Arial" w:hAnsi="Calibri"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224"/>
    <w:rsid w:val="00080CFF"/>
    <w:rsid w:val="000A1311"/>
    <w:rsid w:val="000C68A4"/>
    <w:rsid w:val="000F3FBB"/>
    <w:rsid w:val="001A5F87"/>
    <w:rsid w:val="001B34B9"/>
    <w:rsid w:val="002F0C59"/>
    <w:rsid w:val="003154A2"/>
    <w:rsid w:val="003208C4"/>
    <w:rsid w:val="00343745"/>
    <w:rsid w:val="0038143A"/>
    <w:rsid w:val="00382F6E"/>
    <w:rsid w:val="003A7E9B"/>
    <w:rsid w:val="003B5B78"/>
    <w:rsid w:val="003D56D8"/>
    <w:rsid w:val="0046397C"/>
    <w:rsid w:val="00517824"/>
    <w:rsid w:val="00551A66"/>
    <w:rsid w:val="00564761"/>
    <w:rsid w:val="00564E26"/>
    <w:rsid w:val="00570D1B"/>
    <w:rsid w:val="005B477A"/>
    <w:rsid w:val="005C4BF4"/>
    <w:rsid w:val="005E3FD4"/>
    <w:rsid w:val="005F0FE4"/>
    <w:rsid w:val="006A05B3"/>
    <w:rsid w:val="006D5E4D"/>
    <w:rsid w:val="006F018F"/>
    <w:rsid w:val="006F2052"/>
    <w:rsid w:val="007B6373"/>
    <w:rsid w:val="007D212F"/>
    <w:rsid w:val="007E37FC"/>
    <w:rsid w:val="007F3B1F"/>
    <w:rsid w:val="008050DB"/>
    <w:rsid w:val="008076C5"/>
    <w:rsid w:val="008476C0"/>
    <w:rsid w:val="008620A4"/>
    <w:rsid w:val="008B3CA0"/>
    <w:rsid w:val="008B6C42"/>
    <w:rsid w:val="008D4D4C"/>
    <w:rsid w:val="008D6462"/>
    <w:rsid w:val="008E51D4"/>
    <w:rsid w:val="008E7022"/>
    <w:rsid w:val="008F0C79"/>
    <w:rsid w:val="00911FAC"/>
    <w:rsid w:val="0091342A"/>
    <w:rsid w:val="0093453B"/>
    <w:rsid w:val="00937539"/>
    <w:rsid w:val="00952F88"/>
    <w:rsid w:val="00991697"/>
    <w:rsid w:val="0099685D"/>
    <w:rsid w:val="009A64D7"/>
    <w:rsid w:val="009A7074"/>
    <w:rsid w:val="00A06941"/>
    <w:rsid w:val="00A32DF7"/>
    <w:rsid w:val="00A44DEA"/>
    <w:rsid w:val="00A83C46"/>
    <w:rsid w:val="00A87F67"/>
    <w:rsid w:val="00A9503D"/>
    <w:rsid w:val="00AA6551"/>
    <w:rsid w:val="00AE318F"/>
    <w:rsid w:val="00B30BB6"/>
    <w:rsid w:val="00B6769D"/>
    <w:rsid w:val="00B80D92"/>
    <w:rsid w:val="00BB64BC"/>
    <w:rsid w:val="00BE5B5A"/>
    <w:rsid w:val="00C40D0E"/>
    <w:rsid w:val="00C4678A"/>
    <w:rsid w:val="00C87CB2"/>
    <w:rsid w:val="00CA5DBC"/>
    <w:rsid w:val="00CB75ED"/>
    <w:rsid w:val="00CD2A46"/>
    <w:rsid w:val="00D46D8D"/>
    <w:rsid w:val="00E745AB"/>
    <w:rsid w:val="00ED092E"/>
    <w:rsid w:val="00EE1B46"/>
    <w:rsid w:val="00EE385D"/>
    <w:rsid w:val="00F92F51"/>
    <w:rsid w:val="00F93F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ist,Párrafo dentro,Normal N3,Arial 8,Bullet,Párrafo de lista11,List Paragraph1,Lista1,Párrafo de lista - cat,Resume Title,Dot pt,No Spacing1,List Paragraph Char Char Char,Indicator Text,Numbered Para 1,Bullet Points,MAIN CONTENT,b1,K1"/>
    <w:basedOn w:val="Normal"/>
    <w:link w:val="PrrafodelistaCar"/>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customStyle="1" w:styleId="PrrafodelistaCar">
    <w:name w:val="Párrafo de lista Car"/>
    <w:aliases w:val="List Car,Párrafo dentro Car,Normal N3 Car,Arial 8 Car,Bullet Car,Párrafo de lista11 Car,List Paragraph1 Car,Lista1 Car,Párrafo de lista - cat Car,Resume Title Car,Dot pt Car,No Spacing1 Car,List Paragraph Char Char Char Car,b1 Car"/>
    <w:link w:val="Prrafodelista"/>
    <w:uiPriority w:val="34"/>
    <w:qFormat/>
    <w:rsid w:val="0099685D"/>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422875608">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76876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3AFE6-B246-44BD-A285-727931A6A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1458</Words>
  <Characters>8113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Flores García, Manuel</cp:lastModifiedBy>
  <cp:revision>3</cp:revision>
  <cp:lastPrinted>2021-06-09T11:44:00Z</cp:lastPrinted>
  <dcterms:created xsi:type="dcterms:W3CDTF">2022-01-12T09:12:00Z</dcterms:created>
  <dcterms:modified xsi:type="dcterms:W3CDTF">2022-01-12T09:16:00Z</dcterms:modified>
</cp:coreProperties>
</file>